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283</w:t>
      </w:r>
    </w:p>
    <w:p>
      <w:r>
        <w:t>Bundesgericht (BGE), 2017-03-17, DE</w:t>
      </w:r>
    </w:p>
    <w:p>
      <w:r>
        <w:rPr>
          <w:b/>
        </w:rPr>
        <w:t xml:space="preserve">Quelle: </w:t>
      </w:r>
      <w:r>
        <w:t>https://mcp.opencaselaw.ch/entscheid/bge_143 II 283</w:t>
      </w:r>
    </w:p>
    <w:p>
      <w:r>
        <w:t>FR: ATF 143 II 283</w:t>
      </w:r>
    </w:p>
    <w:p>
      <w:r>
        <w:t>IT: DTF 143 II 283</w:t>
      </w:r>
    </w:p>
    <w:p>
      <w:pPr>
        <w:pStyle w:val="Heading2"/>
      </w:pPr>
      <w:r>
        <w:t>Regeste</w:t>
      </w:r>
    </w:p>
    <w:p>
      <w:r>
        <w:t>Regeste Rechnung eines Netzbetreibers für Strombezug an einen grundversorgten Endverbraucher im Sinne von Art. 6 Abs. 1 StromVG: Überwälzung von Kostenanteilen, die nicht zu den bundesrechtlich geregelten, durch die ElCom regulierten Kostenkomponenten gehören. Legalitätsprinzip (Art. 127 Abs. 1 und 2 BV). Abgaben und Leistungen an Gemeinwesen, die auf die Endverbraucher überwälzt werden (Art. 6 Abs. 3 und Art. 14 Abs. 1 StromVG), gehören nicht zu den bundesrechtlich regulierten Kosten (E. 1.2.2-1.2.5). Die Überwälzung von Kostenanteilen für die öffentliche Beleuchtung und öffentliche Uhren auf die Strom-Endverbraucher ist als Kostenanlastungssteuer zulässig, weil damit nicht eine Sondergruppe belastet wird, sondern die Gesamtheit der Bevölkerung (E. 2.1-2.4). Hingegen verletzt die Überwälzung der Konzessionsgebühr für die Allmendbenützung das Legalitätsprinzip: Die Höhe der Abgabe (11 Mio. Fr.) wird einzig durch eine regierungsrätliche Verordnung bestimmt und das formelle Gesetz, auf welche diese sich stützt, enthält keine Kriterien für die Bemessung. Es ist auch kein Marktwert bestimmbar. Da die Höhe der Konzessionsabgabe nicht anhand verfassungsrechtlicher Prinzipien (Kostendeckungs-/ Äquivalenzprinzip) überprüft werden kann, können die Anforderungen an die gesetzliche Grundlage nicht gelockert werden (E. 3.1-3.8).</w:t>
      </w:r>
    </w:p>
    <w:p>
      <w:pPr>
        <w:pStyle w:val="Heading2"/>
      </w:pPr>
      <w:r>
        <w:t>Erwägungen</w:t>
      </w:r>
    </w:p>
    <w:p>
      <w:r>
        <w:rPr>
          <w:b/>
        </w:rPr>
        <w:t>E. 1</w:t>
      </w:r>
    </w:p>
    <w:p>
      <w:r>
        <w:t>(...) 1.2.2 Beschwerden an das Bundesgericht haben nebst den Begehren die Begründung zu enthalten; darin ist in gedrängter Form darzulegen, inwiefern der angefochtene Akt Recht verletzt ( Art. 42 Abs. 1 und 2 BGG ). Die Begründung braucht nicht zutreffend zu sein; verlangt wird aber, dass sich die Beschwerde mit dem angefochtenen Entscheid auseinandersetzt ( BGE 140 III 86 E. 2 S. 88 ff.). Das Begründungserfordernis bezieht sich auf die gestellten Begehren. Enthält die Beschwerde mehrere unterschiedliche Rechtsbegehren, aber nur zu einigen davon eine hinreichende Begründung, so ist auf die begründeten Begehren einzutreten, aber auf die anderen nicht. Sodann prüft das Bundesgericht die Verletzung von Grundrechten und von kantonalem und interkantonalem Recht nur insofern, als eine solche Rüge in der Beschwerde vorgebracht und begründet worden ist ( Art. 106 Abs. 2 BGG ). Es gilt insofern eine gesteigerte Rügepflicht ( BGE 139 I 229 E. 2.2 S. 232). Wird eine solche Verfassungsrüge nicht vorgebracht, kann das Bundesgericht eine Beschwerde selbst dann nicht gutheissen, wenn eine Verfassungsverletzung tatsächlich vorliegt ( BGE 139 I 229 E. 2.2 S. 232; BGE 131 I 377 E. 4.3 S. 385). Stützt sich der angefochtene Entscheid auf kantonales Recht, so ist eine solche, erhöhten Anforderungen genügende Begründung Voraussetzung für das Eintreten auf die Beschwerde bzw. die einzelnen Beschwerdeanträge. 1.2.3 Die Begründung muss in der Beschwerde selber enthalten sein, die innert der gesetzlichen und nicht erstreckbaren Beschwerdefrist einzureichen ist. Die aufgrund von Art. 6 Ziff. 1 EMRK bzw. Art. 29 Abs. 2 BV bestehende Möglichkeit, nach Eingang der Vernehmlassungen der Gegenpartei eine Replik einzureichen, kann nur dazu dienen, sich zu den von der Gegenpartei eingereichten Stellungnahmen zu äussern. Ausgeschlossen sind hingegen in diesem Rahmen Anträge und Rügen, die der Beschwerdeführer bereits vor Ablauf der Beschwerdefrist hätte erheben können ( BGE 135 I 19 E. 2.2 S. 21). 1.2.4 Die beanstandete Gebührenrechnung ist eine Rechnung für Strombezug an einen grundversorgten Endverbraucher im Sinne von BGE 143 II 283 S. 287 Art. 6 Abs. 1 des Bundesgesetzes vom 23. März 2007 über die Stromversorgung (Stromversorgungsgesetz, StromVG; SR 734.7). Die Gesamtgebühr setzt sich zusammen aus den Kosten für Netznutzung, Energielieferung sowie Abgaben und Leistungen an Gemeinwesen ( Art. 6 Abs. 3 StromVG ). Die Kosten der Netznutzung umfassen ihrerseits die anrechenbaren Kosten sowie Abgaben und Leistungen an Gemeinwesen ( Art. 14 Abs. 1 StromVG ). Die Kosten für die Energielieferung (im Bereich der Grundversorgung) sowie die anrechenbaren Kosten für die Netznutzung sind bundesrechtlich geregelt und werden von der ElCom reguliert (Art. 6 Abs. 1 und 4, Art. 14 ff. sowie Art. 22 Abs. 2 lit. a und b StromVG ). Die Abgaben und Leistungen an Gemeinwesen richten sich demgegenüber nach der Gesetzgebung des jeweils zuständigen Gemeinwesens, also gegebenenfalls der Kantone und Gemeinden ( BGE 138 I 468 E. 2.4 und 2.5 S. 472 f., BGE 138 I 454 E. 3.6.3 S. 463; BGE 138 II 70 ). Sie unterliegen nicht der Regulierung durch die ElCom ( BGE 138 I 468 E. 2.5 S. 472 f.; Urteile 2C_824/2015 vom 21. Juli 2016 E. 1.1.1; 2C_226/2012 vom 10. Juni 2013 E. 4.2). 1.2.5 Der Beschwerdeführer beanstandet die Gebührenrechnung in Bezug auf drei Kostenanteile, nämlich (1) Kosten für die öffentliche Beleuchtung und die öffentlichen Uhren und (2) Kosten für die Allmendbenützung (Rechtsbegehren Ziff. 1 und 2) sowie (3) Sponsorenbeiträge der IWB an das Theater Basel und andere Institutionen (Rechtsbegehren Ziff. 3 und 4). Alle diese Kostenanteile gehören nicht zu den bundesrechtlich geregelten, durch die ElCom regulierten Kostenkomponenten. Sie stützen sich auf kantonales Recht, so dass die erhöhten Begründungsanforderungen zum Tragen kommen (vorne E. 1.2.2). (...)</w:t>
      </w:r>
    </w:p>
    <w:p>
      <w:r>
        <w:rPr>
          <w:b/>
        </w:rPr>
        <w:t>E. 2.1</w:t>
      </w:r>
    </w:p>
    <w:p>
      <w:r>
        <w:t>In Bezug auf die Kosten für die öffentliche Beleuchtung und die öffentlichen Uhren hat die Vorinstanz erwogen, gemäss § 5 Abs. 1 des basel-städtischen Gesetzes vom 11. Februar 2009 über die Industriellen Werke Basel (IWB-Gesetz; SG 772.300) stellten die IWB Leistungen in den Bereichen öffentliche Beleuchtung und öffentliche Uhren sicher und finanzierten diese Leistungen durch Zuschläge zur Netzgebühr. Es handle sich dabei um eine Sondersteuer, für welche sachliche Gründe bestünden: Der Betrieb der öffentlichen Beleuchtung und der - hinsichtlich Energie- und Betriebsaufwands vernachlässigbaren - öffentlichen Uhren stehe in engem BGE 143 II 283 S. 288 Zusammenhang mit dem Aufbau und Betrieb des Stromleitungsnetzes, von dem die Strombezüger profitierten; diese stellten keine Sondergruppe dar, so dass alle von der Leistung profitierten.</w:t>
      </w:r>
    </w:p>
    <w:p>
      <w:r>
        <w:rPr>
          <w:b/>
        </w:rPr>
        <w:t>E. 2.2</w:t>
      </w:r>
    </w:p>
    <w:p>
      <w:r>
        <w:t>Der Beschwerdeführer rügt in seiner Beschwerde nicht das Fehlen einer gesetzlichen Grundlage. Soweit er in seiner Replik auf das Legalitätsprinzip hinweist, ist dies verspätet (vorne E. 1.2.3). Es wird somit nicht in rechtsgenüglicher Form eine Verletzung des Legalitätsprinzips von Art. 127 Abs. 1 BV gerügt, so dass auf die Frage, ob für die streitigen Kostenanteile eine genügende gesetzliche Grundlage besteht, nicht einzugehen ist (vorne E. 1.2.2).</w:t>
      </w:r>
    </w:p>
    <w:p>
      <w:r>
        <w:rPr>
          <w:b/>
        </w:rPr>
        <w:t>E. 2.3</w:t>
      </w:r>
    </w:p>
    <w:p>
      <w:r>
        <w:t>Der Beschwerdeführer rügt hingegen, die Kosten der Stadtbeleuchtung gehörten zu den normalen Staatsunkosten, die von der Sache her durch die Steuerzahler zu bezahlen seien. Diese Kosten hätten nichts zu tun mit dem Elektrizitätsbezug der privaten Stromabnehmer. Es sei willkürlich, sie mittels Elektrizitätsbezug auf die Stromkonsumenten zu überwälzen. Er rügt damit in rechtsgenüglicher Weise, die Voraussetzungen für eine Kostenüberwälzung seien nicht gegeben.</w:t>
      </w:r>
    </w:p>
    <w:p>
      <w:r>
        <w:rPr>
          <w:b/>
        </w:rPr>
        <w:t>E. 2.3.1</w:t>
      </w:r>
    </w:p>
    <w:p>
      <w:r>
        <w:t>Die Vorinstanz hat die streitige Abgabekomponente als Kostenanlastungssteuer qualifiziert. Das erscheint als zutreffend. Zwar ist die Beschwerdegegnerin nicht ein Gemeinwesen mit Steuerhoheit, aber eine öffentlichrechtliche Anstalt mit eigener Rechtspersönlichkeit (§ 2 IWB-Gesetz) und einem gesetzlichen Versorgungsauftrag (§§ 3 ff. IWB-Gesetz). Dazu gehören der Betrieb eines Verteil-Elektrizitätsnetzes im Sinne von Art. 5 Abs. 1 StromVG (§ 4 Abs. 1 IWB-Gesetz), aber auch Leistungen (u.a.) in den Bereichen öffentliche Beleuchtung, öffentliche Uhren und öffentliche Brunnen, wofür sie Abgaben in Form eines Zuschlags zur Netzgebühr erhebt (§ 5 Abs. 1 IWB-Gesetz). Da der Verteilnetzbetreiber zumindest ein faktisches Netzmonopol hat, sind somit alle Stromkonsumenten verpflichtet, mit ihren Abgaben, die sie an die Beschwerdegegnerin bezahlen, an die Kosten der öffentlichen Beleuchtung und der öffentlichen Uhren beizutragen.</w:t>
      </w:r>
    </w:p>
    <w:p>
      <w:r>
        <w:rPr>
          <w:b/>
        </w:rPr>
        <w:t>E. 2.3.2</w:t>
      </w:r>
    </w:p>
    <w:p>
      <w:r>
        <w:t>Eine Kostenanlastungssteuer wird einer bestimmten Gruppe von Personen auferlegt, weil diese zu bestimmten Aufwendungen des Gemeinwesens in einer näheren Beziehung stehen als die übrigen Steuerpflichtigen. Sie steht in einem Spannungsverhältnis zum Grundsatz der Allgemeinheit der Besteuerung ( Art. 127 Abs. 2 BV ) und setzt daher voraus, dass sachlich haltbare Gründe bestehen, die betreffenden staatlichen Aufwendungen der erfassten Personengruppe BGE 143 II 283 S. 289 anzulasten. Zudem muss die allfällige Abgrenzung nach haltbaren Kriterien erfolgen; andernfalls verletzt die Abgabe das Gleichheitsgebot (Urteil 2C_655/2015 vom 22. Juni 2016 E. 4.1, nicht publ. in: BGE 142 I 155 ; BGE 131 II 271 E. 5.3 S. 277; BGE 124 I 289 E. 3b S. 292; BGE 122 I 305 E. 4b S. 310).</w:t>
      </w:r>
    </w:p>
    <w:p>
      <w:r>
        <w:rPr>
          <w:b/>
        </w:rPr>
        <w:t>E. 2.3.3</w:t>
      </w:r>
    </w:p>
    <w:p>
      <w:r>
        <w:t>Das Bundesgericht hat in BGE 124 I 289 entschieden, dass eine Regelung, welche ungefähr die Hälfte der Kosten der Strassenreinigung den Eigentümern von Grundstücken auferlegt, gegen die Rechtsgleichheit verstösst; die Grundeigentümer würden das öffentliche Strassennetz nicht stärker in Anspruch nehmen als die übrige Bevölkerung und zögen daraus auch nicht einen grösseren Nutzen (E. 3e). Aus den gleichen Gründen verstösst es gegen die Rechtsgleichheit, ausschliesslich die Grundeigentümer mit der gesamten Feuerschutzabgabe zu belasten ( BGE 122 I 305 E. 6 S. 313 ff.), für die Instandhaltung und Reinigung des kommunalen Strassennetzes arbeits- bzw. (subsidiär) ersatzabgabepflichtig zu erklären ( BGE 131 I 1 E. 4.3 und 4.4 S. 7 ff.) oder ihnen die Kosten für die Beseitigung von weggeworfenem Abfall aufzuerlegen ( BGE 138 II 111 E. 5.4 S. 128 ff.). In BGE 131 I 313 hat das Bundesgericht erwogen, eine Auferlegung der Kosten der öffentlichen Strassenbeleuchtung an die Hauseigentümer verstosse mangels eines massgeblichen Sondervorteils der abgabepflichtig erklärten Grundeigentümer gegen das Rechtsgleichheitsgebot (E. 3.6 S. 320). Anders als im Fall der basel-städtischen Strassenreinigungsabgabe ( BGE 124 I 289 ) handle es sich dabei zwar nicht um eine Kostenanlastungssteuer, da die Abgabe als Vorzugslast ausgestaltet sei; die rechtlichen Erwägungen jenes Entscheids liessen sich deshalb nicht unmittelbar auf den vorliegenden Fall übertragen; in der Sache bestehe aber insoweit eine Parallelität, als es darum gehe, ob die Kosten für Unterhalt und Betrieb öffentlicher Verkehrswege durch Sonderabgaben zu einem gewissen Teil den Eigentümern anstossender Grundstücke auferlegt werden dürften. Die Strassenbeleuchtung diene nicht in erster Linie den Hauseigentümern, sondern allen Strassenbenützern; es könne nicht generell von einem ins Gewicht fallenden individuellen Sondervorteil der erfassten Strassenanstösser ausgegangen werden, welcher es rechtfertigen könnte, die Kosten der Strassenbeleuchtung zu einem substantiellen Teil in Form von Vorzugslasten dieser Personengruppe zu überbinden (E. 3.5 S. 318 f,). Zulässig ist es hingegen, die Wuhrpflicht bzw. die entsprechenden Kosten den Grundeigentümern aufzuerlegen, da zwischen dem Zweck der erhobenen BGE 143 II 283 S. 290 Abgabe und den damit belasteten Grundstücken ein rechtlich zulässiger Zusammenhang besteht (Urteil 2P.281/2005 vom 27. März 2006 E. 3.2).</w:t>
      </w:r>
    </w:p>
    <w:p>
      <w:r>
        <w:rPr>
          <w:b/>
        </w:rPr>
        <w:t>E. 2.3.4</w:t>
      </w:r>
    </w:p>
    <w:p>
      <w:r>
        <w:t>Anders als in den zitierten Entscheiden werden hier die Kosten nicht auf die Grundeigentümer überwälzt, sondern auf die Stromkonsumenten. Da praktisch jedermann Strom bezieht und zu diesem Zweck das von der Beschwerdegegnerin betriebene Elektrizitätsnetz in Anspruch nimmt, wird mit der Kostenüberwälzung nicht nur eine Sondergruppe belastet, sondern die Gesamtheit der Bevölkerung, welche auch von der öffentlichen Beleuchtung profitiert. Insoweit ist die Kostenüberwälzung grundsätzlich verfassungsrechtlich zulässig. Der Beschwerdeführer stellt freilich in Abrede, dass die Gesamtbevölkerung auch von öffentlichen Uhren profitiere, da jedermann ohnehin andere Uhren zur Hand habe; damit bezweifelt er allerdings nicht primär die Kostenverlegung, sondern eher den Umstand, dass überhaupt das Gesetz der Beschwerdegegnerin den Auftrag auferlegt, öffentliche Uhren zu unterhalten. Zudem legt er nicht substantiiert dar, dass die vorinstanzliche Beurteilung, dieser Aufwand sei vernachlässigbar, unhaltbar wäre.</w:t>
      </w:r>
    </w:p>
    <w:p>
      <w:r>
        <w:rPr>
          <w:b/>
        </w:rPr>
        <w:t>E. 2.3.5</w:t>
      </w:r>
    </w:p>
    <w:p>
      <w:r>
        <w:t>Zutreffend ist hingegen, dass die Aufteilung der Gesamtkosten unter die Gesamtheit der Kostenpflichtigen nach anderen Kriterien erfolgt, als wenn die Leistung durch Steuern finanziert würde, nämlich proportional zum Elektrizitätsverbrauch und nicht nach dem Massstab der wirtschaftlichen Leistungsfähigkeit ( Art. 127 Abs. 2 BV ). Indessen gibt es kein verfassungsmässiges Recht und auch keine sonstige Norm des Bundesrechts, wonach alle staatlichen oder öffentlichen Aufgaben aus allgemeinen Steuermitteln finanziert werden müssen. Dass das kantonale Verfassungsrecht eine solche Vorschrift enthalten würde, wird vom Beschwerdeführer nicht dargetan (vgl. vorne E. 1.2.2). Es ist deshalb nicht ausgeschlossen, bestimmte Aufgaben anders zu finanzieren als mittels allgemeiner, aufgrund wirtschaftlicher Leistungsfähigkeit erhobener Steuern. Sonderfinanzierungen für bestimmte Aufgabenbereiche sind vielfach üblich und im Rahmen der allgemeinen verfassungsrechtlichen Schranken zulässig (vgl. GEORG MÜLLER, Sind "Service public-Abgaben" im Bereich der Versorgung mit elektrischer Energie zulässig?, ZBl 2004 S. 461 ff., 467 ff.; BGE 138 II 111 E. 3.2 S. 113 ff.). Vorliegend besteht zwar aus Sicht der einzelnen Abgabepflichtigen kein direkter Konnex zwischen ihrem Elektrizitätsverbrauch und dem Nutzen der öffentlichen Beleuchtung. Aber es ist sachlich haltbar, diese Aufgabe der Beschwerdegegnerin zu übertragen, da sie einen BGE 143 II 283 S. 291 Zusammenhang zu der Versorgung mit leitungsgebundener Energie aufweist. Es erscheint sodann auch als haltbar, wenn die Beschwerdegegnerin diese ihr gesetzlich obliegende Aufgabe mit einem Zuschlag zur Netzgebühr finanziert, da dies ihre normale Einnahmenquelle ist. Der blosse Umstand, dass eine Finanzierung aus allgemeinen Steuermitteln auch denkbar wäre, lässt die vom kantonalen Gesetzgeber gewählte Lösung nicht als rechtsungleich oder sachlich unhaltbar erscheinen.</w:t>
      </w:r>
    </w:p>
    <w:p>
      <w:r>
        <w:rPr>
          <w:b/>
        </w:rPr>
        <w:t>E. 2.4</w:t>
      </w:r>
    </w:p>
    <w:p>
      <w:r>
        <w:t>In Bezug auf den Kostenanteil für die öffentliche Beleuchtung und öffentliche Uhren erweist sich die Beschwerde somit als unbegründet.</w:t>
      </w:r>
    </w:p>
    <w:p>
      <w:r>
        <w:rPr>
          <w:b/>
        </w:rPr>
        <w:t>E. 3.1</w:t>
      </w:r>
    </w:p>
    <w:p>
      <w:r>
        <w:t>In Bezug auf die Anlastung der Konzessionsgebühr hat die Vorinstanz ausgeführt, gemäss Art. 6 Abs. 3 StromVG könnten auch Konzessionsgebühren für die Sondernutzungen von öffentlichem Grund auf die Stromkonsumenten überwälzt werden. Gemäss § 10 des basel-städtischen Gesetzes vom 16. Oktober 2013 über die Nutzung des öffentlichen Raumes (NöRG; SG 724.100) sei jede Nutzung des öffentlichen Raumes, welche über schlichten Gemeingebrauch hinausgehe, bewilligungs- und gebührenpflichtig. Gemäss § 30 IWB-Gesetz sei der Beschwerdegegnerin die ausschliessliche Konzession zur Nutzung der Allmend für den Bau, Betrieb und Unterhalt von Leitungen und Bauten der Energieversorgung erteilt worden, wofür die Beschwerdegegnerin den Kanton mit einer jährlichen Konzessionsgebühr zu entschädigen habe. Aufgrund der aktuell genutzten Allmendfläche von 674'974 m 2 und einem Mietwert von Fr. 15.83 pro m 2 sei die Konzessionsgebühr pro Jahr auf 11 Millionen Franken festgelegt worden. Der Beschwerdeführer mache nicht geltend und es sei auch nicht ersichtlich, inwiefern das Kostendeckungs- und Äquivalenzprinzip verletzt sein solle.</w:t>
      </w:r>
    </w:p>
    <w:p>
      <w:r>
        <w:rPr>
          <w:b/>
        </w:rPr>
        <w:t>E. 3.2</w:t>
      </w:r>
    </w:p>
    <w:p>
      <w:r>
        <w:t>Der Beschwerdeführer rügt eine Verletzung des Legalitätsprinzips. Die Höhe der Konzessionsgebühr sei nicht in einem dem Referendum unterstellten Gesetz festgelegt worden. Der Mietpreis von mehr als 15 Franken pro m 2 lasse sich nicht mit dem Kostendeckungs- und Äquivalenzprinzip rechtfertigen.</w:t>
      </w:r>
    </w:p>
    <w:p>
      <w:r>
        <w:rPr>
          <w:b/>
        </w:rPr>
        <w:t>E. 3.3</w:t>
      </w:r>
    </w:p>
    <w:p>
      <w:r>
        <w:t>Zu den Abgaben und Leistungen an Gemeinwesen, welche nach Art. 6 Abs. 3 bzw. Art. 14 Abs. 1 StromVG auf die Netznutzer überwälzt werden können, gehören auch die Abgaben für die Benützung des öffentlichen Bodens, welche die Netzbetreiber dem BGE 143 II 283 S. 292 Gemeinwesen zu bezahlen haben (vgl. BGE 138 II 70 ; Urteil 2C_116/2014 vom 16. August 2016). Rechtsgrundlage für diese Abgabe ist aber nicht das StromVG selber, sondern es muss eine gesetzliche Grundlage des betreffenden Gemeinwesens vorliegen (zit. Urteil 2C_116/ 2014 E. 12.1).</w:t>
      </w:r>
    </w:p>
    <w:p>
      <w:r>
        <w:rPr>
          <w:b/>
        </w:rPr>
        <w:t>E. 3.4</w:t>
      </w:r>
    </w:p>
    <w:p>
      <w:r>
        <w:t>Die Beschwerdegegnerin hat von Gesetzes wegen die ausschliessliche Konzession für den Bau, Betrieb und Unterhalt von Elektrizitätsleitungen im öffentlichen Grund und Boden des Kantons (§ 30 Abs. 1 IWB-Gesetz). Sie bezahlt dem Kanton dafür eine Konzessionsgebühr (§ 30 Abs. 3 IWB-Gesetz). Schuldner der Konzessionsgebühr ist damit nicht der Beschwerdeführer, sondern die Beschwerdegegnerin. Da die Beschwerdegegnerin aber die Gebühr anteilmässig auf die von ihr versorgten Endkunden überwälzt, können sich diese auch darauf berufen, dass die letztlich von ihnen getragene Abgabe keine genügende gesetzliche Grundlage hat (vgl. BGE 124 I 11 E. 1b S. 13; Urteil 2C_116/2014 vom 16. August 2016 E. 2.3).</w:t>
      </w:r>
    </w:p>
    <w:p>
      <w:r>
        <w:rPr>
          <w:b/>
        </w:rPr>
        <w:t>E. 3.5</w:t>
      </w:r>
    </w:p>
    <w:p>
      <w:r>
        <w:t>Das abgabrechtliche Legalitätsprinzip ( Art. 127 Abs. 1 BV ) verlangt, dass der Kreis der Abgabepflichtigen, der Gegenstand der Abgabe und deren Bemessung in den Grundzügen im formellen Gesetz enthalten sein muss. Nach der Rechtsprechung können die Vorgaben betreffend die formellgesetzliche Bemessung der Abgaben bei gewissen Arten von Kausalabgaben gelockert werden, wo das Mass der Abgabe durch überprüfbare verfassungsrechtliche Prinzipien (Kostendeckungs- und Äquivalenzprinzip) begrenzt wird und nicht allein der Gesetzesvorbehalt diese Schutzfunktion erfüllt ( BGE 141 V 509 E. 7.1.1 S. 516; BGE 135 I 130 E. 7.2 S. 140; BGE 134 I 179 E. 6.1 S. 180; BGE 132 II 371 E. 2.1 S. 374; BGE 121 I 230 E. 3e und g/aa S. 235 ff.). Die Tragweite des Legalitätsprinzips ist je nach Art der Abgabe zu nuancieren. Dabei darf das Legalitätsprinzip weder seines Gehalts entleert noch in einer Weise überspannt werden, dass es mit der Rechtswirklichkeit und dem Erfordernis der Praktikabilität in einen unlösbaren Widerspruch gerät ( BGE 135 I 130 E. 7.2 S. 140; BGE 132 II 371 E. 2.1 S. 374 f.; BGE 130 I 113 E. 2.2 S. 116; BGE 128 II 112 E. 5a S. 117; BGE 123 I 248 E. 2 S. 249).</w:t>
      </w:r>
    </w:p>
    <w:p>
      <w:r>
        <w:rPr>
          <w:b/>
        </w:rPr>
        <w:t>E. 3.6</w:t>
      </w:r>
    </w:p>
    <w:p>
      <w:r>
        <w:t>Die formellgesetzliche Grundlage für die Konzessionsabgabe, welche die Beschwerdegegnerin dem Kanton bezahlt (§ 30 Abs. 3 IWB-Gesetz), legt weder Grundzüge der Bemessung noch Höhe der Abgabe fest, sondern delegiert die Kompetenz zur Festlegung der Gebühr ohne jede inhaltliche Vorgabe an den Regierungsrat. Dieser BGE 143 II 283 S. 293 hat gestützt darauf in § 2 der Verordnung vom 21. Dezember 2010 betreffend die von den IWB Industrielle Werke Basel zu entrichtende Konzessionsgebühr (SG 772.350) die Gebühr auf Fr. 15.83 pro m 2 und die gesamte Konzessionsgebühr pro Jahr auf 11 Millionen Franken festgelegt.</w:t>
      </w:r>
    </w:p>
    <w:p>
      <w:r>
        <w:rPr>
          <w:b/>
        </w:rPr>
        <w:t>E. 3.7</w:t>
      </w:r>
    </w:p>
    <w:p>
      <w:r>
        <w:t>Die regierungsrätliche Verordnung ist kein formelles Gesetz. Sie kann daher nicht selber die Anforderungen an die gesetzliche Grundlage erfüllen. Die Vorinstanz geht aber davon aus, die Anforderungen an die gesetzliche Grundlage könnten auch für Benützungsgebühren mit Blick auf das Kostendeckungs- und das Äquivalenzprinzip gelockert werden.</w:t>
      </w:r>
    </w:p>
    <w:p>
      <w:r>
        <w:rPr>
          <w:b/>
        </w:rPr>
        <w:t>E. 3.7.1</w:t>
      </w:r>
    </w:p>
    <w:p>
      <w:r>
        <w:t>Das Kostendeckungsprinzip besagt, dass die Gesamteingänge an Abgaben den Gesamtaufwand für den betreffenden Verwaltungszweig nicht oder höchstens geringfügig überschreiten sollen ( BGE 141 V 509 E. 7.1.2 S. 516 f.). Es kann daher nur bei kostenabhängigen Kausalabgaben zum Tragen kommen und das Fehlen einer hinreichend bestimmten gesetzlichen Grundlage kompensieren ( BGE 141 V 509 E. 7.1.2 S. 516 f.; BGE 131 II 271 E. 7.3 S. 287, BGE 131 II 735 E. 3.2 S. 739 f.; BGE 126 I 180 E. 3a/aa S. 188; BGE 121 I 230 E. 3e S. 236; TSCHANEN/ZIMMERLI/MÜLLER, Allgemeines Verwaltungsrecht, 4. Aufl. 2014, S. 575 Rz. 12; WIEDERKEHR/RICHLI, Praxis des allgemeinen Verwaltungsrechts, Bd. II, 2014, S. 420 f.; RENÉ WIEDERKEHR, Kausalabgaben, 2015, S. 80). Benützungsgebühren können kostenabhängig sein, wenn sie die Benützung einer Verwaltungstätigkeit abgelten, welche für das Gemeinwesen einen bestimmten, dem Verwaltungszweig zurechenbaren Aufwand verursachen, wie z.B. unter gewissen Umständen eine Wasserversorgung (vgl. Urteil 2C_809/2015 vom 16. Februar 2016 E. 5.4.2; HÄFELIN/MÜLLER/UHLMANN, Allgemeines Verwaltungsrecht, 7. Aufl. 2016, S. 635 Rz. 2783). Abgesehen von solchen Fällen entzieht sich aber die Benützungsgebühr in der Regel einer Überprüfung unter dem Gesichtspunkt der Kostendeckung. Insoweit gilt das Erfordernis der formellgesetzlichen Grundlage uneingeschränkt ( BGE 120 Ia 265 E. 2b S. 267 f.; BGE 118 Ia 320 E. 4b S. 324 f.; BGE 104 Ia 113 E. 3 S. 115 ff.; Urteil 2C_150/2007 vom 9. August 2007 E. 4). Die Auffassung der Vorinstanz, bei Benützungsgebühren könnten wegen der Überprüfbarkeit anhand des Kostendeckungs- und des Äquivalenzprinzips die Anforderungen an die gesetzliche Grundlage reduziert werden, kann in dieser allgemeinen Form nicht geteilt werden. BGE 143 II 283 S. 294</w:t>
      </w:r>
    </w:p>
    <w:p>
      <w:r>
        <w:rPr>
          <w:b/>
        </w:rPr>
        <w:t>E. 3.7.2</w:t>
      </w:r>
    </w:p>
    <w:p>
      <w:r>
        <w:t>Konzessions- und Regalgebühren sind im Allgemeinen nicht kostenabhängig und unterliegen daher nicht dem Kostendeckungsprinzip, da dem Gemeinwesen durch die Konzessionsverleihung keine Kosten erwachsen ausser den administrativen ( BGE 131 II 735 E. 3.2 S. 740; BGE 121 II 183 E. 4a S. 187 f.; BGE 119 Ia 123 E. 3c S. 130; Urteil 2C_729/2013 vom 3. April 2014 E. 2.3; DUBEY/ZUFFEREY, Droit administratif général, 2014, S. 651 Rz. 1847; WIEDERKEHR, a.a.O., S. 65 f.). Das gilt auch für Abgaben für die Sondernutzung oder den gesteigerten Gemeingebrauch von öffentlichen Gütern, so dass das Legalitätsprinzip nicht mit Rücksicht auf das Kostendeckungsprinzip gelockert werden kann, jedenfalls wenn mangels vergleichbarer privater Angebote auch kein Marktpreis besteht, mit dem die staatlichen Gebühren verglichen werden könnten ( BGE 104 Ia 113 E. 3 S. 115 f.; BGE 100 Ia 131 E. 6c S. 140 ff.; Urteile 2C_729/2013 vom 3. April 2014 E. 4.2; 2C_609/2010 vom 18. Juni 2011 E. 3.2; 2P.93/1994 vom 21. November 1994 E. 3c).</w:t>
      </w:r>
    </w:p>
    <w:p>
      <w:r>
        <w:rPr>
          <w:b/>
        </w:rPr>
        <w:t>E. 3.7.3</w:t>
      </w:r>
    </w:p>
    <w:p>
      <w:r>
        <w:t>Das Bundesgericht hat im Urteil 2C_729/2013 vom 3. April 2014 allerdings eine formellgesetzliche Grundlage als genügend betrachtet, nach welcher sich die Abgabe für die Sondernutzung an öffentlichen Gewässern "nach Massgabe der eingeräumten Sondervorteile, namentlich des wirtschaftlichen Nutzens, der Art und Dauer der Konzession oder der Bewilligung, der für die Öffentlichkeit entstehenden Nachteile, des Verwendungszwecks, der Menge des beanspruchten Wassers sowie - bei der Inanspruchnahme der Gewässer - des Wertes angrenzender Grundstücke" bemass. Es erwog, dass der Sondervorteil in der Regel ein wirtschaftlicher sei, so dass das Kriterium des "wirtschaftlichen Nutzens" eine hinsichtlich der Abgabenhöhe begrenzende Funktion habe; der Marktwert könne als Vergleichsgrösse dienen, sofern ein solcher bestehe; weil der Regierungsrat gestützt darauf für die Berechnung der Gebührenhöhe auf die Regeln über die Bewertung der Liegenschaften und die Festsetzung der Eigenmietwerte verwies, was als obere Grenze zu verstehen sei, wurde die gesetzliche Grundlage als genügend betrachtet (zit. Urteil, E. 4.4 und 4.5).</w:t>
      </w:r>
    </w:p>
    <w:p>
      <w:r>
        <w:rPr>
          <w:b/>
        </w:rPr>
        <w:t>E. 3.7.4</w:t>
      </w:r>
    </w:p>
    <w:p>
      <w:r>
        <w:t>Im Unterschied zu dem zuletzt genannten Fall nennt hier das formelle Gesetz, auf welches sich die regierungsrätliche Verordnung stützt, überhaupt keine Kriterien für die Bemessung der Abgabe. Zwar enthält § 28 NöRG Grundsätze für die Bemessung der Gebühren für die Nutzung des öffentlichen Raumes zu Sonderzwecken. Dafür sollen das Äquivalenz- und das Interessenprinzip gelten, was BGE 143 II 283 S. 295 mit einigen zu berücksichtigenden Faktoren beispielhaft illustriert wird. Dabei fällt auf, dass das Kostendeckungsprinzip nicht erwähnt wird, was bestätigt, dass die Sondernutzungsabgabe auch nach der Konzeption des basel-städtischen Gesetzgebers kostenunabhängig ist. Sodann stützt sich die Verordnung betreffend die von den IWB zu entrichtende Konzessionsgebühr nach ihrem Ingress nicht auf § 28 NöRG (welches in seinem § 1 Abs. 3 zudem übergeordnetes oder spezielles Recht vorbehält), sondern einzig auf § 30 IWB-Gesetz. Es ist demzufolge nicht ersichtlich, ob sich der Regierungsrat bei der Festlegung der Abgabe überhaupt an die Grundsätze von § 28 NöRG als gebunden erachtet hat. Sodann haben weder die Beschwerdegegnerin noch die Vorinstanz geltend gemacht, dass dem Kanton durch die Konzessionsverleihung an die IWB Kosten im Umfang von 11 Millionen Franken pro Jahr entstehen würden. Schliesslich ist auch nicht ersichtlich, dass in Bezug auf die Allmendbenützung ein vergleichbares privates Angebot bestünde, so dass ein Marktwert bestimmbar wäre. Die Höhe der Konzessionsabgabe kann somit nicht anhand verfassungsrechtlicher Prinzipien überprüft werden. Die Anforderungen an die gesetzliche Grundlage können daher entgegen der Auffassung der Vorinstanz nicht gelockert werden.</w:t>
      </w:r>
    </w:p>
    <w:p>
      <w:r>
        <w:rPr>
          <w:b/>
        </w:rPr>
        <w:t>E. 3.8</w:t>
      </w:r>
    </w:p>
    <w:p>
      <w:r>
        <w:t>Insgesamt ergibt sich, dass die gesetzliche Grundlage für die den Elektrizitätskonsumenten überwälzte Konzessionsgebühr, welche die Beschwerdegegnerin an den Kanton bezahlt, ungenügend ist. In diesem Punkt ist die Beschwerde begründet.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